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6E85B" w14:textId="77777777" w:rsidR="00FB75AA" w:rsidRPr="00E36131" w:rsidRDefault="00A27874">
      <w:pPr>
        <w:rPr>
          <w:b/>
          <w:bCs/>
          <w:sz w:val="24"/>
          <w:szCs w:val="28"/>
        </w:rPr>
      </w:pPr>
      <w:r w:rsidRPr="00E36131">
        <w:rPr>
          <w:b/>
          <w:bCs/>
          <w:sz w:val="24"/>
          <w:szCs w:val="28"/>
        </w:rPr>
        <w:t>数据集摘要：</w:t>
      </w:r>
    </w:p>
    <w:p w14:paraId="66BE5EFD" w14:textId="77777777" w:rsidR="00A545EE" w:rsidRDefault="00A27874" w:rsidP="00A545EE">
      <w:pPr>
        <w:ind w:firstLineChars="200" w:firstLine="480"/>
        <w:rPr>
          <w:sz w:val="24"/>
          <w:szCs w:val="28"/>
        </w:rPr>
      </w:pPr>
      <w:r w:rsidRPr="00E36131">
        <w:rPr>
          <w:sz w:val="24"/>
          <w:szCs w:val="28"/>
        </w:rPr>
        <w:t>本数据集以2026年8月26日吉隆口岸冰岩崩源区所在冰川为中心，构建半径200 km区域范围，整理该区域冰川空间分布及2000—2020年冰川表面高程变化数据。</w:t>
      </w:r>
    </w:p>
    <w:p w14:paraId="602208A2" w14:textId="3831E186" w:rsidR="00A545EE" w:rsidRDefault="00A27874" w:rsidP="00A545EE">
      <w:pPr>
        <w:ind w:firstLineChars="200" w:firstLine="480"/>
        <w:rPr>
          <w:sz w:val="24"/>
          <w:szCs w:val="28"/>
        </w:rPr>
      </w:pPr>
      <w:r w:rsidRPr="00E36131">
        <w:rPr>
          <w:sz w:val="24"/>
          <w:szCs w:val="28"/>
        </w:rPr>
        <w:t>数据主要包括从Randolph Glacier Inventory 6.0和7.0中提取的区域冰川边界，以及基于</w:t>
      </w:r>
      <w:proofErr w:type="spellStart"/>
      <w:r w:rsidRPr="00E36131">
        <w:rPr>
          <w:sz w:val="24"/>
          <w:szCs w:val="28"/>
        </w:rPr>
        <w:t>Hugonnet</w:t>
      </w:r>
      <w:proofErr w:type="spellEnd"/>
      <w:r w:rsidRPr="00E36131">
        <w:rPr>
          <w:sz w:val="24"/>
          <w:szCs w:val="28"/>
        </w:rPr>
        <w:t>等</w:t>
      </w:r>
      <w:r w:rsidR="00516A95">
        <w:rPr>
          <w:rFonts w:hint="eastAsia"/>
          <w:sz w:val="24"/>
          <w:szCs w:val="28"/>
        </w:rPr>
        <w:t>（</w:t>
      </w:r>
      <w:r w:rsidR="00BD235F" w:rsidRPr="00BD235F">
        <w:rPr>
          <w:rFonts w:hint="eastAsia"/>
          <w:sz w:val="24"/>
          <w:szCs w:val="28"/>
        </w:rPr>
        <w:t>Accelerated global glacier mass loss in the early twenty-first century</w:t>
      </w:r>
      <w:r w:rsidR="00516A95">
        <w:rPr>
          <w:rFonts w:hint="eastAsia"/>
          <w:sz w:val="24"/>
          <w:szCs w:val="28"/>
        </w:rPr>
        <w:t>）</w:t>
      </w:r>
      <w:r w:rsidRPr="00E36131">
        <w:rPr>
          <w:sz w:val="24"/>
          <w:szCs w:val="28"/>
        </w:rPr>
        <w:t>发布的全球冰川高程变化产品筛选获得的2000—2005年、2005—2010年、2010—2015年和2015—2020年四个时期冰川表面高程变化率数据。各时段高程变化数据包括UTM投影下的高程变化率（</w:t>
      </w:r>
      <w:proofErr w:type="spellStart"/>
      <w:r w:rsidRPr="00E36131">
        <w:rPr>
          <w:sz w:val="24"/>
          <w:szCs w:val="28"/>
        </w:rPr>
        <w:t>dhdt_UTM</w:t>
      </w:r>
      <w:proofErr w:type="spellEnd"/>
      <w:r w:rsidRPr="00E36131">
        <w:rPr>
          <w:sz w:val="24"/>
          <w:szCs w:val="28"/>
        </w:rPr>
        <w:t>）、地理坐标系下的高程变化率（</w:t>
      </w:r>
      <w:proofErr w:type="spellStart"/>
      <w:r w:rsidRPr="00E36131">
        <w:rPr>
          <w:sz w:val="24"/>
          <w:szCs w:val="28"/>
        </w:rPr>
        <w:t>dhdt_GCS</w:t>
      </w:r>
      <w:proofErr w:type="spellEnd"/>
      <w:r w:rsidRPr="00E36131">
        <w:rPr>
          <w:sz w:val="24"/>
          <w:szCs w:val="28"/>
        </w:rPr>
        <w:t>）以及UTM投影下的高程变化率误差（</w:t>
      </w:r>
      <w:proofErr w:type="spellStart"/>
      <w:r w:rsidRPr="00E36131">
        <w:rPr>
          <w:sz w:val="24"/>
          <w:szCs w:val="28"/>
        </w:rPr>
        <w:t>dhdt_err_UTM</w:t>
      </w:r>
      <w:proofErr w:type="spellEnd"/>
      <w:r w:rsidRPr="00E36131">
        <w:rPr>
          <w:sz w:val="24"/>
          <w:szCs w:val="28"/>
        </w:rPr>
        <w:t>）。</w:t>
      </w:r>
    </w:p>
    <w:p w14:paraId="20E4567D" w14:textId="304EF537" w:rsidR="00B17EA8" w:rsidRPr="00E36131" w:rsidRDefault="00A27874" w:rsidP="00A545EE">
      <w:pPr>
        <w:ind w:firstLineChars="200" w:firstLine="480"/>
        <w:rPr>
          <w:rFonts w:hint="eastAsia"/>
          <w:sz w:val="24"/>
          <w:szCs w:val="28"/>
        </w:rPr>
      </w:pPr>
      <w:r w:rsidRPr="00E36131">
        <w:rPr>
          <w:sz w:val="24"/>
          <w:szCs w:val="28"/>
        </w:rPr>
        <w:t>本数据集可用于分析吉隆冰岩崩源区冰川长期减薄背景、开展源区与周边冰川变化对比，并为喜马拉雅山区冰川变化、冰岩崩及相关冰冻圈灾害研究提供基础数据支持。</w:t>
      </w:r>
    </w:p>
    <w:sectPr w:rsidR="00B17EA8" w:rsidRPr="00E361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082"/>
    <w:rsid w:val="0028487E"/>
    <w:rsid w:val="002F059A"/>
    <w:rsid w:val="003B01DE"/>
    <w:rsid w:val="003C7E02"/>
    <w:rsid w:val="003E3D38"/>
    <w:rsid w:val="00414F8F"/>
    <w:rsid w:val="00516A95"/>
    <w:rsid w:val="00653282"/>
    <w:rsid w:val="007B5B0A"/>
    <w:rsid w:val="008812F0"/>
    <w:rsid w:val="0088314D"/>
    <w:rsid w:val="009B751E"/>
    <w:rsid w:val="00A27874"/>
    <w:rsid w:val="00A545EE"/>
    <w:rsid w:val="00A6321A"/>
    <w:rsid w:val="00B17EA8"/>
    <w:rsid w:val="00B5367A"/>
    <w:rsid w:val="00BD235F"/>
    <w:rsid w:val="00C01498"/>
    <w:rsid w:val="00C57FA8"/>
    <w:rsid w:val="00D062FB"/>
    <w:rsid w:val="00D53082"/>
    <w:rsid w:val="00E36131"/>
    <w:rsid w:val="00E41C09"/>
    <w:rsid w:val="00E55688"/>
    <w:rsid w:val="00F25609"/>
    <w:rsid w:val="00FB7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C41237"/>
  <w15:chartTrackingRefBased/>
  <w15:docId w15:val="{7B3C0D6D-8A9F-488F-80CE-61116801E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5308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30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308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53082"/>
    <w:pPr>
      <w:keepNext/>
      <w:keepLines/>
      <w:spacing w:before="80" w:after="40"/>
      <w:outlineLvl w:val="3"/>
    </w:pPr>
    <w:rPr>
      <w:rFonts w:cstheme="majorBidi"/>
      <w:color w:val="2E74B5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53082"/>
    <w:pPr>
      <w:keepNext/>
      <w:keepLines/>
      <w:spacing w:before="80" w:after="40"/>
      <w:outlineLvl w:val="4"/>
    </w:pPr>
    <w:rPr>
      <w:rFonts w:cstheme="majorBidi"/>
      <w:color w:val="2E74B5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53082"/>
    <w:pPr>
      <w:keepNext/>
      <w:keepLines/>
      <w:spacing w:before="40"/>
      <w:outlineLvl w:val="5"/>
    </w:pPr>
    <w:rPr>
      <w:rFonts w:cstheme="majorBidi"/>
      <w:b/>
      <w:bCs/>
      <w:color w:val="2E74B5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53082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53082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53082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53082"/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5308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5308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53082"/>
    <w:rPr>
      <w:rFonts w:cstheme="majorBidi"/>
      <w:color w:val="2E74B5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53082"/>
    <w:rPr>
      <w:rFonts w:cstheme="majorBidi"/>
      <w:color w:val="2E74B5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D53082"/>
    <w:rPr>
      <w:rFonts w:cstheme="majorBidi"/>
      <w:b/>
      <w:bCs/>
      <w:color w:val="2E74B5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5308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5308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5308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5308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530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5308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5308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5308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5308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5308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53082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5308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53082"/>
    <w:rPr>
      <w:i/>
      <w:iCs/>
      <w:color w:val="2E74B5" w:themeColor="accent1" w:themeShade="BF"/>
    </w:rPr>
  </w:style>
  <w:style w:type="character" w:styleId="ad">
    <w:name w:val="Intense Reference"/>
    <w:basedOn w:val="a0"/>
    <w:uiPriority w:val="32"/>
    <w:qFormat/>
    <w:rsid w:val="00D53082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69</Words>
  <Characters>396</Characters>
  <Application>Microsoft Office Word</Application>
  <DocSecurity>0</DocSecurity>
  <Lines>3</Lines>
  <Paragraphs>1</Paragraphs>
  <ScaleCrop>false</ScaleCrop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yingzheng wang</dc:creator>
  <cp:keywords/>
  <dc:description/>
  <cp:lastModifiedBy>yingzheng wang</cp:lastModifiedBy>
  <cp:revision>41</cp:revision>
  <dcterms:created xsi:type="dcterms:W3CDTF">2026-09-02T12:59:00Z</dcterms:created>
  <dcterms:modified xsi:type="dcterms:W3CDTF">2026-09-02T13:01:00Z</dcterms:modified>
</cp:coreProperties>
</file>